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5A" w:rsidRPr="0072275A" w:rsidRDefault="0072275A" w:rsidP="0072275A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72275A">
        <w:rPr>
          <w:rFonts w:ascii="Times New Roman" w:hAnsi="Times New Roman"/>
          <w:b/>
          <w:sz w:val="26"/>
          <w:szCs w:val="26"/>
          <w:lang w:val="ru-RU"/>
        </w:rPr>
        <w:t>Прием заключений по результатам антикоррупционной экспертизы проекта нормативно-правового акта с 12 мая 2022 года по 11 июня 2022 года</w:t>
      </w:r>
    </w:p>
    <w:p w:rsidR="0072275A" w:rsidRPr="0072275A" w:rsidRDefault="0072275A" w:rsidP="0072275A">
      <w:pPr>
        <w:pStyle w:val="af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/>
          <w:bCs/>
          <w:sz w:val="26"/>
          <w:szCs w:val="26"/>
          <w:lang w:val="ru-RU"/>
        </w:rPr>
        <w:t>ПРОЕКТ</w:t>
      </w:r>
    </w:p>
    <w:p w:rsidR="0072275A" w:rsidRPr="0072275A" w:rsidRDefault="0072275A" w:rsidP="0072275A">
      <w:pPr>
        <w:pStyle w:val="af1"/>
        <w:rPr>
          <w:rFonts w:ascii="Times New Roman" w:hAnsi="Times New Roman"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Российская Федерация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Республика Хакасия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Бейский район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Администрация Большемонокского сельсовета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275A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72275A" w:rsidRPr="0072275A" w:rsidRDefault="0072275A" w:rsidP="0072275A">
      <w:pPr>
        <w:pStyle w:val="af1"/>
        <w:rPr>
          <w:rFonts w:ascii="Times New Roman" w:hAnsi="Times New Roman"/>
          <w:b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rPr>
          <w:rFonts w:ascii="Times New Roman" w:hAnsi="Times New Roman"/>
          <w:b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rPr>
          <w:rFonts w:ascii="Times New Roman" w:hAnsi="Times New Roman"/>
          <w:sz w:val="26"/>
          <w:szCs w:val="26"/>
          <w:lang w:val="ru-RU"/>
        </w:rPr>
      </w:pPr>
      <w:r w:rsidRPr="0072275A">
        <w:rPr>
          <w:rFonts w:ascii="Times New Roman" w:hAnsi="Times New Roman"/>
          <w:sz w:val="26"/>
          <w:szCs w:val="26"/>
          <w:lang w:val="ru-RU"/>
        </w:rPr>
        <w:t xml:space="preserve">от «00» ____ 2022 г.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72275A">
        <w:rPr>
          <w:rFonts w:ascii="Times New Roman" w:hAnsi="Times New Roman"/>
          <w:sz w:val="26"/>
          <w:szCs w:val="26"/>
          <w:lang w:val="ru-RU"/>
        </w:rPr>
        <w:t xml:space="preserve">с. Большой Монок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72275A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Pr="0072275A">
        <w:rPr>
          <w:rFonts w:ascii="Times New Roman" w:hAnsi="Times New Roman"/>
          <w:b/>
          <w:sz w:val="26"/>
          <w:szCs w:val="26"/>
          <w:lang w:val="ru-RU"/>
        </w:rPr>
        <w:t>00</w:t>
      </w:r>
    </w:p>
    <w:p w:rsidR="0072275A" w:rsidRDefault="0072275A" w:rsidP="0072275A">
      <w:pPr>
        <w:shd w:val="clear" w:color="auto" w:fill="FFFFFF"/>
        <w:rPr>
          <w:sz w:val="26"/>
          <w:szCs w:val="26"/>
        </w:rPr>
      </w:pPr>
    </w:p>
    <w:p w:rsidR="0072275A" w:rsidRDefault="0072275A" w:rsidP="0072275A">
      <w:pPr>
        <w:shd w:val="clear" w:color="auto" w:fill="FFFFFF"/>
        <w:rPr>
          <w:sz w:val="26"/>
          <w:szCs w:val="26"/>
        </w:rPr>
      </w:pPr>
    </w:p>
    <w:p w:rsidR="0072275A" w:rsidRDefault="0037009D" w:rsidP="0072275A">
      <w:pPr>
        <w:shd w:val="clear" w:color="auto" w:fill="FFFFFF"/>
        <w:rPr>
          <w:b/>
          <w:sz w:val="26"/>
          <w:szCs w:val="26"/>
        </w:rPr>
      </w:pPr>
      <w:r w:rsidRPr="0072275A">
        <w:rPr>
          <w:b/>
          <w:sz w:val="26"/>
          <w:szCs w:val="26"/>
        </w:rPr>
        <w:t xml:space="preserve">О разработке и утверждении паспорта </w:t>
      </w:r>
    </w:p>
    <w:p w:rsidR="0072275A" w:rsidRDefault="0037009D" w:rsidP="0072275A">
      <w:pPr>
        <w:shd w:val="clear" w:color="auto" w:fill="FFFFFF"/>
        <w:rPr>
          <w:b/>
          <w:sz w:val="26"/>
          <w:szCs w:val="26"/>
        </w:rPr>
      </w:pPr>
      <w:r w:rsidRPr="0072275A">
        <w:rPr>
          <w:b/>
          <w:sz w:val="26"/>
          <w:szCs w:val="26"/>
        </w:rPr>
        <w:t xml:space="preserve">населённого пункта, </w:t>
      </w:r>
      <w:proofErr w:type="gramStart"/>
      <w:r w:rsidRPr="0072275A">
        <w:rPr>
          <w:b/>
          <w:sz w:val="26"/>
          <w:szCs w:val="26"/>
        </w:rPr>
        <w:t xml:space="preserve">паспортов </w:t>
      </w:r>
      <w:r w:rsidR="0072275A">
        <w:rPr>
          <w:b/>
          <w:sz w:val="26"/>
          <w:szCs w:val="26"/>
        </w:rPr>
        <w:t xml:space="preserve"> </w:t>
      </w:r>
      <w:proofErr w:type="spellStart"/>
      <w:r w:rsidRPr="0072275A">
        <w:rPr>
          <w:b/>
          <w:sz w:val="26"/>
          <w:szCs w:val="26"/>
        </w:rPr>
        <w:t>терри</w:t>
      </w:r>
      <w:proofErr w:type="spellEnd"/>
      <w:proofErr w:type="gramEnd"/>
      <w:r w:rsidR="0072275A">
        <w:rPr>
          <w:b/>
          <w:sz w:val="26"/>
          <w:szCs w:val="26"/>
        </w:rPr>
        <w:t>-</w:t>
      </w:r>
    </w:p>
    <w:p w:rsidR="0037009D" w:rsidRDefault="0037009D" w:rsidP="0072275A">
      <w:pPr>
        <w:shd w:val="clear" w:color="auto" w:fill="FFFFFF"/>
        <w:rPr>
          <w:b/>
        </w:rPr>
      </w:pPr>
      <w:r w:rsidRPr="0072275A">
        <w:rPr>
          <w:b/>
          <w:sz w:val="26"/>
          <w:szCs w:val="26"/>
        </w:rPr>
        <w:t>торий</w:t>
      </w:r>
    </w:p>
    <w:p w:rsidR="0072275A" w:rsidRDefault="0072275A" w:rsidP="0072275A">
      <w:pPr>
        <w:shd w:val="clear" w:color="auto" w:fill="FFFFFF"/>
        <w:rPr>
          <w:b/>
        </w:rPr>
      </w:pPr>
    </w:p>
    <w:p w:rsidR="0072275A" w:rsidRPr="0072275A" w:rsidRDefault="0072275A" w:rsidP="0072275A">
      <w:pPr>
        <w:shd w:val="clear" w:color="auto" w:fill="FFFFFF"/>
        <w:rPr>
          <w:b/>
        </w:rPr>
      </w:pPr>
    </w:p>
    <w:p w:rsidR="0072275A" w:rsidRPr="0072275A" w:rsidRDefault="0037009D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rStyle w:val="fontstyle15"/>
          <w:sz w:val="26"/>
          <w:szCs w:val="26"/>
        </w:rPr>
        <w:t xml:space="preserve">Федеральными законами от 21 декабря 1994 г. № 69-ФЗ «О пожарной безопасности», от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6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72275A" w:rsidRPr="0072275A">
        <w:rPr>
          <w:rFonts w:eastAsia="Calibri"/>
          <w:bCs/>
          <w:sz w:val="26"/>
          <w:szCs w:val="26"/>
        </w:rPr>
        <w:t xml:space="preserve">администрация Большемонокского сельсовета </w:t>
      </w:r>
    </w:p>
    <w:p w:rsidR="0072275A" w:rsidRPr="0072275A" w:rsidRDefault="0072275A" w:rsidP="0072275A">
      <w:pPr>
        <w:shd w:val="clear" w:color="auto" w:fill="FFFFFF"/>
        <w:jc w:val="both"/>
        <w:rPr>
          <w:rFonts w:eastAsia="Calibri"/>
          <w:bCs/>
          <w:sz w:val="26"/>
          <w:szCs w:val="26"/>
        </w:rPr>
      </w:pPr>
    </w:p>
    <w:p w:rsidR="0037009D" w:rsidRDefault="0072275A" w:rsidP="0072275A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72275A">
        <w:rPr>
          <w:rFonts w:eastAsia="Calibri"/>
          <w:bCs/>
          <w:sz w:val="26"/>
          <w:szCs w:val="26"/>
        </w:rPr>
        <w:t>ПОСТАНОВЛЯЕТ</w:t>
      </w:r>
      <w:r w:rsidR="0037009D">
        <w:rPr>
          <w:rFonts w:eastAsia="Calibri"/>
          <w:sz w:val="26"/>
          <w:szCs w:val="26"/>
        </w:rPr>
        <w:t>:</w:t>
      </w:r>
    </w:p>
    <w:p w:rsidR="0072275A" w:rsidRDefault="0072275A" w:rsidP="0072275A">
      <w:pPr>
        <w:shd w:val="clear" w:color="auto" w:fill="FFFFFF"/>
        <w:jc w:val="center"/>
      </w:pPr>
    </w:p>
    <w:p w:rsidR="0037009D" w:rsidRDefault="0037009D">
      <w:pPr>
        <w:pStyle w:val="ad"/>
        <w:tabs>
          <w:tab w:val="left" w:pos="333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</w:t>
      </w:r>
      <w:r w:rsidR="00754C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разработки и утверждении паспорта населенного пункта, паспортов территорий согласно </w:t>
      </w:r>
      <w:r w:rsidR="00754CB9">
        <w:rPr>
          <w:rFonts w:ascii="Times New Roman" w:hAnsi="Times New Roman" w:cs="Times New Roman"/>
          <w:sz w:val="26"/>
          <w:szCs w:val="26"/>
          <w:lang w:eastAsia="ru-RU"/>
        </w:rPr>
        <w:t>приложению,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>2.</w:t>
      </w:r>
      <w:r w:rsidR="00754CB9">
        <w:rPr>
          <w:rFonts w:eastAsia="Calibri"/>
          <w:sz w:val="26"/>
          <w:szCs w:val="26"/>
          <w:shd w:val="clear" w:color="auto" w:fill="FFFFFF"/>
        </w:rPr>
        <w:t> </w:t>
      </w:r>
      <w:r w:rsidR="0072275A" w:rsidRPr="00F43E2C">
        <w:rPr>
          <w:sz w:val="26"/>
          <w:szCs w:val="26"/>
        </w:rPr>
        <w:t>Разместить настоящее постановление на официальном сайте администрации Бейского района</w:t>
      </w:r>
      <w:r w:rsidR="0072275A" w:rsidRPr="00F43E2C">
        <w:rPr>
          <w:color w:val="000000"/>
          <w:sz w:val="26"/>
          <w:szCs w:val="26"/>
        </w:rPr>
        <w:t xml:space="preserve"> </w:t>
      </w:r>
      <w:r w:rsidR="0072275A" w:rsidRPr="00F43E2C">
        <w:rPr>
          <w:sz w:val="26"/>
          <w:szCs w:val="26"/>
        </w:rPr>
        <w:t>в сети «Интернет» в разделе «Поселения».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>3. Постановление вступает в силу с момента его подписания.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>4. Контроль исполнения настоящего постановления оставляю за собой.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highlight w:val="white"/>
        </w:rPr>
        <w:tab/>
      </w:r>
    </w:p>
    <w:p w:rsidR="0037009D" w:rsidRDefault="0037009D">
      <w:pPr>
        <w:ind w:firstLine="709"/>
        <w:jc w:val="both"/>
        <w:rPr>
          <w:sz w:val="26"/>
          <w:szCs w:val="26"/>
        </w:rPr>
      </w:pPr>
    </w:p>
    <w:p w:rsidR="00754CB9" w:rsidRDefault="00754CB9">
      <w:pPr>
        <w:jc w:val="both"/>
        <w:rPr>
          <w:sz w:val="26"/>
          <w:szCs w:val="26"/>
        </w:rPr>
      </w:pPr>
    </w:p>
    <w:p w:rsidR="0037009D" w:rsidRPr="00754CB9" w:rsidRDefault="0037009D">
      <w:pPr>
        <w:jc w:val="both"/>
      </w:pPr>
      <w:r>
        <w:rPr>
          <w:sz w:val="26"/>
          <w:szCs w:val="26"/>
        </w:rPr>
        <w:t>Глава</w:t>
      </w:r>
      <w:r w:rsidR="0072275A">
        <w:rPr>
          <w:sz w:val="26"/>
          <w:szCs w:val="26"/>
        </w:rPr>
        <w:t xml:space="preserve"> Большемонокского сельсовета                                                       А.П. Челтыгмашев</w:t>
      </w: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tabs>
          <w:tab w:val="left" w:pos="108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2275A" w:rsidRDefault="0072275A">
      <w:pPr>
        <w:tabs>
          <w:tab w:val="left" w:pos="1080"/>
        </w:tabs>
        <w:rPr>
          <w:sz w:val="28"/>
          <w:szCs w:val="28"/>
        </w:rPr>
      </w:pPr>
    </w:p>
    <w:p w:rsidR="0037009D" w:rsidRPr="0072275A" w:rsidRDefault="0037009D" w:rsidP="0072275A">
      <w:pPr>
        <w:widowControl w:val="0"/>
        <w:autoSpaceDE w:val="0"/>
        <w:ind w:firstLine="698"/>
        <w:jc w:val="right"/>
        <w:rPr>
          <w:sz w:val="26"/>
          <w:szCs w:val="26"/>
        </w:rPr>
      </w:pPr>
      <w:bookmarkStart w:id="1" w:name="sub_18000"/>
      <w:r>
        <w:rPr>
          <w:rFonts w:ascii="Times New Roman CYR" w:eastAsia="Times New Roman CYR" w:hAnsi="Times New Roman CYR" w:cs="Times New Roman CYR"/>
          <w:bCs/>
        </w:rPr>
        <w:lastRenderedPageBreak/>
        <w:t xml:space="preserve">                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Приложение </w:t>
      </w:r>
      <w:r w:rsidRPr="0072275A">
        <w:rPr>
          <w:rFonts w:ascii="Times New Roman CYR" w:hAnsi="Times New Roman CYR" w:cs="Times New Roman CYR"/>
          <w:sz w:val="26"/>
          <w:szCs w:val="26"/>
        </w:rPr>
        <w:br/>
        <w:t xml:space="preserve">                                                                          к постановлению</w:t>
      </w:r>
      <w:r w:rsidR="0072275A" w:rsidRPr="0072275A">
        <w:rPr>
          <w:rFonts w:ascii="Times New Roman CYR" w:hAnsi="Times New Roman CYR" w:cs="Times New Roman CYR"/>
          <w:sz w:val="26"/>
          <w:szCs w:val="26"/>
        </w:rPr>
        <w:t xml:space="preserve"> администрации</w:t>
      </w:r>
    </w:p>
    <w:p w:rsidR="0037009D" w:rsidRPr="0072275A" w:rsidRDefault="0072275A">
      <w:pPr>
        <w:widowControl w:val="0"/>
        <w:autoSpaceDE w:val="0"/>
        <w:ind w:firstLine="698"/>
        <w:jc w:val="right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Большемонокского сельсовета</w:t>
      </w:r>
    </w:p>
    <w:p w:rsidR="0037009D" w:rsidRPr="0072275A" w:rsidRDefault="0037009D">
      <w:pPr>
        <w:widowControl w:val="0"/>
        <w:autoSpaceDE w:val="0"/>
        <w:ind w:firstLine="698"/>
        <w:jc w:val="right"/>
        <w:rPr>
          <w:sz w:val="26"/>
          <w:szCs w:val="26"/>
        </w:rPr>
      </w:pPr>
      <w:r w:rsidRPr="0072275A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72275A">
        <w:rPr>
          <w:rFonts w:ascii="Times New Roman CYR" w:hAnsi="Times New Roman CYR" w:cs="Times New Roman CYR"/>
          <w:sz w:val="26"/>
          <w:szCs w:val="26"/>
        </w:rPr>
        <w:t>«00» _____ 2022 г.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72275A">
        <w:rPr>
          <w:rFonts w:ascii="Times New Roman CYR" w:hAnsi="Times New Roman CYR" w:cs="Times New Roman CYR"/>
          <w:sz w:val="26"/>
          <w:szCs w:val="26"/>
        </w:rPr>
        <w:t>00</w:t>
      </w: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b/>
          <w:color w:val="22272F"/>
          <w:sz w:val="26"/>
          <w:szCs w:val="26"/>
        </w:rPr>
        <w:t xml:space="preserve"> Порядок</w:t>
      </w: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b/>
          <w:color w:val="22272F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разработки и утверждении паспорта населенного пункта,</w:t>
      </w: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 паспортов территорий</w:t>
      </w:r>
    </w:p>
    <w:p w:rsidR="0037009D" w:rsidRDefault="0037009D">
      <w:pPr>
        <w:pStyle w:val="s3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</w:rPr>
      </w:pPr>
    </w:p>
    <w:p w:rsidR="0037009D" w:rsidRDefault="0037009D">
      <w:pPr>
        <w:pStyle w:val="s3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1. Настоящий порядок</w:t>
      </w:r>
      <w:r>
        <w:rPr>
          <w:b/>
          <w:color w:val="22272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6"/>
        </w:rPr>
        <w:t xml:space="preserve">разработан в соответствии с </w:t>
      </w:r>
      <w:r>
        <w:rPr>
          <w:rStyle w:val="fontstyle15"/>
          <w:sz w:val="26"/>
          <w:szCs w:val="26"/>
        </w:rPr>
        <w:t>Федеральными законами от 21 декабря 1994 г. № 69-ФЗ «О пожарной безопасности</w:t>
      </w:r>
      <w:r w:rsidR="00754CB9">
        <w:rPr>
          <w:rStyle w:val="fontstyle15"/>
          <w:sz w:val="26"/>
          <w:szCs w:val="26"/>
        </w:rPr>
        <w:t>», от</w:t>
      </w:r>
      <w:r>
        <w:rPr>
          <w:rStyle w:val="fontstyle15"/>
          <w:sz w:val="26"/>
          <w:szCs w:val="26"/>
        </w:rPr>
        <w:t xml:space="preserve">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6"/>
        </w:rPr>
        <w:t xml:space="preserve">постановлением Правительства Российской </w:t>
      </w:r>
      <w:r w:rsidR="00754CB9">
        <w:rPr>
          <w:sz w:val="26"/>
          <w:szCs w:val="26"/>
        </w:rPr>
        <w:t>Федерации от</w:t>
      </w:r>
      <w:r>
        <w:rPr>
          <w:sz w:val="26"/>
          <w:szCs w:val="26"/>
        </w:rPr>
        <w:t xml:space="preserve"> 16 сентября 2020 г. № 1479 «Правила противопожарного режима в Российской Федерации».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37009D" w:rsidRDefault="0072275A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- </w:t>
      </w:r>
      <w:r w:rsidR="0037009D">
        <w:rPr>
          <w:sz w:val="26"/>
          <w:szCs w:val="26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37009D" w:rsidRDefault="0072275A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- </w:t>
      </w:r>
      <w:r w:rsidR="0037009D">
        <w:rPr>
          <w:sz w:val="26"/>
          <w:szCs w:val="26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</w:t>
      </w:r>
      <w:r>
        <w:rPr>
          <w:sz w:val="26"/>
          <w:szCs w:val="26"/>
        </w:rPr>
        <w:lastRenderedPageBreak/>
        <w:t>подверженных угрозе лесных пожаров, и начало пожароопасного сезона ежегодно устанавливаются нормативным правовым актом Правительства Республики Хакасия исходя из природно-климатических особенностей, связанных со сходом снежного покрова в лесах.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формам согласно </w:t>
      </w:r>
      <w:r>
        <w:rPr>
          <w:rStyle w:val="a5"/>
          <w:color w:val="000000"/>
          <w:sz w:val="26"/>
          <w:szCs w:val="26"/>
          <w:u w:val="none"/>
        </w:rPr>
        <w:t xml:space="preserve">приложениям </w:t>
      </w:r>
      <w:r>
        <w:rPr>
          <w:rStyle w:val="a5"/>
          <w:color w:val="auto"/>
          <w:sz w:val="26"/>
          <w:szCs w:val="26"/>
          <w:u w:val="none"/>
        </w:rPr>
        <w:t>1 и 2</w:t>
      </w:r>
      <w:r>
        <w:rPr>
          <w:sz w:val="26"/>
          <w:szCs w:val="26"/>
        </w:rPr>
        <w:t xml:space="preserve"> к настоящему порядку.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Республики Хакасия,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10. Глава сельского поселения</w:t>
      </w:r>
      <w:r w:rsidR="0072275A">
        <w:rPr>
          <w:sz w:val="26"/>
          <w:szCs w:val="26"/>
        </w:rPr>
        <w:t xml:space="preserve"> утвержденные</w:t>
      </w:r>
      <w:r>
        <w:rPr>
          <w:sz w:val="26"/>
          <w:szCs w:val="26"/>
        </w:rPr>
        <w:t xml:space="preserve"> паспорт населенн</w:t>
      </w:r>
      <w:r w:rsidR="0072275A">
        <w:rPr>
          <w:sz w:val="26"/>
          <w:szCs w:val="26"/>
        </w:rPr>
        <w:t>ого пункта и паспорт территории</w:t>
      </w:r>
      <w:r>
        <w:rPr>
          <w:sz w:val="26"/>
          <w:szCs w:val="26"/>
        </w:rPr>
        <w:t xml:space="preserve"> в течение 3 дней со дня утверждения паспорта населенного пункта и паспорта территории представля</w:t>
      </w:r>
      <w:r w:rsidR="0072275A">
        <w:rPr>
          <w:sz w:val="26"/>
          <w:szCs w:val="26"/>
        </w:rPr>
        <w:t>е</w:t>
      </w:r>
      <w:r>
        <w:rPr>
          <w:sz w:val="26"/>
          <w:szCs w:val="26"/>
        </w:rPr>
        <w:t xml:space="preserve">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</w:t>
      </w:r>
      <w:r w:rsidR="0072275A">
        <w:rPr>
          <w:sz w:val="26"/>
          <w:szCs w:val="26"/>
        </w:rPr>
        <w:t>по Бейскому</w:t>
      </w:r>
      <w:r>
        <w:rPr>
          <w:sz w:val="26"/>
          <w:szCs w:val="26"/>
        </w:rPr>
        <w:t xml:space="preserve"> район</w:t>
      </w:r>
      <w:r w:rsidR="0072275A">
        <w:rPr>
          <w:sz w:val="26"/>
          <w:szCs w:val="26"/>
        </w:rPr>
        <w:t>у</w:t>
      </w:r>
      <w:r>
        <w:rPr>
          <w:sz w:val="26"/>
          <w:szCs w:val="26"/>
        </w:rPr>
        <w:t xml:space="preserve">, в ОНД и ПР </w:t>
      </w:r>
      <w:r w:rsidR="0072275A">
        <w:rPr>
          <w:sz w:val="26"/>
          <w:szCs w:val="26"/>
        </w:rPr>
        <w:t>Бейского района</w:t>
      </w:r>
      <w:r>
        <w:rPr>
          <w:sz w:val="26"/>
          <w:szCs w:val="26"/>
        </w:rPr>
        <w:t>. Главного управления МЧС России по Республике Хакасия.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</w:t>
      </w:r>
      <w:r w:rsidR="0072275A">
        <w:rPr>
          <w:sz w:val="26"/>
          <w:szCs w:val="26"/>
        </w:rPr>
        <w:t>.</w:t>
      </w:r>
    </w:p>
    <w:p w:rsidR="0037009D" w:rsidRDefault="0037009D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7009D" w:rsidRDefault="0037009D">
      <w:pPr>
        <w:widowControl w:val="0"/>
        <w:tabs>
          <w:tab w:val="left" w:pos="3390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hAnsi="Times New Roman CYR" w:cs="Times New Roman CYR"/>
        </w:rPr>
        <w:tab/>
      </w: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</w:t>
      </w: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lastRenderedPageBreak/>
        <w:t xml:space="preserve">  </w:t>
      </w:r>
      <w:r>
        <w:rPr>
          <w:rFonts w:ascii="Times New Roman CYR" w:hAnsi="Times New Roman CYR" w:cs="Times New Roman CYR"/>
          <w:bCs/>
        </w:rPr>
        <w:t>Приложение1</w:t>
      </w:r>
    </w:p>
    <w:bookmarkEnd w:id="1"/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b/>
          <w:color w:val="22272F"/>
          <w:sz w:val="28"/>
          <w:szCs w:val="28"/>
        </w:rPr>
        <w:t xml:space="preserve">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утверждении паспорта 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ind w:firstLine="698"/>
        <w:jc w:val="right"/>
      </w:pPr>
      <w:r>
        <w:rPr>
          <w:rFonts w:ascii="Times New Roman CYR" w:hAnsi="Times New Roman CYR" w:cs="Times New Roman CYR"/>
        </w:rPr>
        <w:t>(форма)</w:t>
      </w:r>
    </w:p>
    <w:p w:rsidR="0037009D" w:rsidRDefault="0037009D">
      <w:pPr>
        <w:widowControl w:val="0"/>
        <w:autoSpaceDE w:val="0"/>
        <w:ind w:firstLine="720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jc w:val="right"/>
      </w:pPr>
      <w:r>
        <w:rPr>
          <w:rFonts w:ascii="Courier New" w:eastAsia="Courier New" w:hAnsi="Courier New" w:cs="Courier New"/>
        </w:rPr>
        <w:t xml:space="preserve">                        </w:t>
      </w:r>
      <w:r>
        <w:t>УТВЕРЖДАЮ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_______________________________________ 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(должность руководителя (заместителя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руководителя) органа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местного самоуправления)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(фамилия, имя, отчество (при наличии)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     (подпись и М.П.)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    "___"_______________20__г.</w:t>
      </w:r>
    </w:p>
    <w:p w:rsidR="0037009D" w:rsidRDefault="0037009D">
      <w:pPr>
        <w:widowControl w:val="0"/>
        <w:autoSpaceDE w:val="0"/>
        <w:ind w:firstLine="720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</w:pPr>
      <w:r>
        <w:rPr>
          <w:rFonts w:ascii="Courier New" w:eastAsia="Courier New" w:hAnsi="Courier New" w:cs="Courier New"/>
          <w:b/>
          <w:bCs/>
        </w:rPr>
        <w:t xml:space="preserve">                           </w:t>
      </w:r>
      <w:r>
        <w:rPr>
          <w:b/>
          <w:bCs/>
        </w:rPr>
        <w:t xml:space="preserve"> ПАСПОРТ</w:t>
      </w:r>
    </w:p>
    <w:p w:rsidR="0037009D" w:rsidRDefault="0037009D">
      <w:pPr>
        <w:widowControl w:val="0"/>
        <w:autoSpaceDE w:val="0"/>
        <w:jc w:val="center"/>
      </w:pPr>
      <w:r>
        <w:rPr>
          <w:b/>
          <w:bCs/>
        </w:rPr>
        <w:t xml:space="preserve">        населенного пункта, подверженного угрозе лесных пожаров и других ландшафтных (природных) пожаров</w:t>
      </w:r>
    </w:p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</w:pPr>
      <w:r>
        <w:t>Наименование населенного пункта______________________________________________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поселения_______________________________________________________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городского округа________________________________________________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субъекта Российской Федерации</w:t>
      </w:r>
      <w:r>
        <w:rPr>
          <w:rFonts w:ascii="Courier New" w:hAnsi="Courier New" w:cs="Courier New"/>
        </w:rPr>
        <w:t>______________________________</w:t>
      </w:r>
    </w:p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spacing w:before="108" w:after="108"/>
        <w:jc w:val="center"/>
      </w:pPr>
      <w:bookmarkStart w:id="2" w:name="sub_18100"/>
      <w:r>
        <w:rPr>
          <w:rFonts w:ascii="Times New Roman CYR" w:hAnsi="Times New Roman CYR" w:cs="Times New Roman CYR"/>
          <w:b/>
          <w:bCs/>
        </w:rPr>
        <w:t>I. Общие сведения о населенном пункте</w:t>
      </w:r>
    </w:p>
    <w:bookmarkEnd w:id="2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6743"/>
        <w:gridCol w:w="2307"/>
      </w:tblGrid>
      <w:tr w:rsidR="0037009D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Характеристика населенного пункта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Значение</w:t>
            </w:r>
          </w:p>
        </w:tc>
      </w:tr>
      <w:tr w:rsidR="0037009D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3" w:name="sub_18101"/>
            <w:r>
              <w:rPr>
                <w:rFonts w:ascii="Times New Roman CYR" w:hAnsi="Times New Roman CYR" w:cs="Times New Roman CYR"/>
              </w:rPr>
              <w:t>1.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населенного пункта (кв. 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4" w:name="sub_18102"/>
            <w:r>
              <w:rPr>
                <w:rFonts w:ascii="Times New Roman CYR" w:hAnsi="Times New Roman CYR" w:cs="Times New Roman CYR"/>
              </w:rPr>
              <w:t>2.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протяженность границы населенного пункта с лесным участком (участками) и (или) участком, заросшим камышовым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 ( 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5" w:name="sub_18103"/>
            <w:r>
              <w:rPr>
                <w:rFonts w:ascii="Times New Roman CYR" w:hAnsi="Times New Roman CYR" w:cs="Times New Roman CYR"/>
              </w:rPr>
              <w:t>3.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6" w:name="sub_18104"/>
            <w:r>
              <w:rPr>
                <w:rFonts w:ascii="Times New Roman CYR" w:hAnsi="Times New Roman CYR" w:cs="Times New Roman CYR"/>
              </w:rPr>
              <w:t>4.</w:t>
            </w:r>
            <w:bookmarkEnd w:id="6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spacing w:before="108" w:after="108"/>
        <w:jc w:val="center"/>
      </w:pPr>
      <w:bookmarkStart w:id="7" w:name="sub_18200"/>
      <w:r>
        <w:rPr>
          <w:rFonts w:ascii="Times New Roman CYR" w:hAnsi="Times New Roman CYR"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6"/>
        <w:gridCol w:w="1373"/>
        <w:gridCol w:w="1798"/>
        <w:gridCol w:w="2763"/>
      </w:tblGrid>
      <w:tr w:rsidR="0037009D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Наименование социального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объекта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Адрес </w:t>
            </w:r>
            <w:r>
              <w:rPr>
                <w:rFonts w:ascii="Times New Roman CYR" w:hAnsi="Times New Roman CYR" w:cs="Times New Roman CYR"/>
              </w:rPr>
              <w:lastRenderedPageBreak/>
              <w:t>объекта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Численность </w:t>
            </w:r>
            <w:r>
              <w:rPr>
                <w:rFonts w:ascii="Times New Roman CYR" w:hAnsi="Times New Roman CYR" w:cs="Times New Roman CYR"/>
              </w:rPr>
              <w:lastRenderedPageBreak/>
              <w:t>персонала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Численность пациентов </w:t>
            </w:r>
            <w:r>
              <w:rPr>
                <w:rFonts w:ascii="Times New Roman CYR" w:hAnsi="Times New Roman CYR" w:cs="Times New Roman CYR"/>
              </w:rPr>
              <w:lastRenderedPageBreak/>
              <w:t>(отдыхающих)</w:t>
            </w:r>
          </w:p>
        </w:tc>
      </w:tr>
      <w:tr w:rsidR="0037009D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spacing w:before="108" w:after="108"/>
        <w:jc w:val="center"/>
      </w:pPr>
      <w:bookmarkStart w:id="8" w:name="sub_18300"/>
      <w:r>
        <w:rPr>
          <w:rFonts w:ascii="Times New Roman CYR" w:hAnsi="Times New Roman CYR" w:cs="Times New Roman CYR"/>
          <w:b/>
          <w:bCs/>
        </w:rPr>
        <w:t>III. Сведения о ближайших к населенному пункту подразделениях пожарной охраны</w:t>
      </w:r>
      <w:bookmarkStart w:id="9" w:name="sub_18301"/>
      <w:bookmarkEnd w:id="8"/>
    </w:p>
    <w:p w:rsidR="0037009D" w:rsidRDefault="0037009D">
      <w:pPr>
        <w:widowControl w:val="0"/>
        <w:autoSpaceDE w:val="0"/>
        <w:spacing w:before="108" w:after="108"/>
      </w:pPr>
      <w:r>
        <w:t xml:space="preserve">1. Подразделения пожарной охраны (наименование, вид), </w:t>
      </w:r>
      <w:bookmarkEnd w:id="9"/>
      <w:r>
        <w:t>дислоцированные на территории населенного пункта, адрес</w:t>
      </w:r>
    </w:p>
    <w:p w:rsidR="0037009D" w:rsidRDefault="0037009D">
      <w:pPr>
        <w:widowControl w:val="0"/>
        <w:autoSpaceDE w:val="0"/>
        <w:spacing w:before="108" w:after="108"/>
      </w:pPr>
      <w:r>
        <w:t>__________________________________________________________________________________________________________________________________________________________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r>
        <w:t>2. Ближайшее к населенному пункту подразделение пожарной охраны (наименование, вид), адрес____________________________________________________________________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r>
        <w:t>_____________________________________________________________________________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bookmarkStart w:id="10" w:name="sub_18400"/>
      <w:r>
        <w:rPr>
          <w:rFonts w:ascii="Times New Roman CYR" w:hAnsi="Times New Roman CYR"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3130"/>
        <w:gridCol w:w="2272"/>
      </w:tblGrid>
      <w:tr w:rsidR="0037009D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</w:tr>
      <w:tr w:rsidR="0037009D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spacing w:before="108" w:after="108"/>
      </w:pPr>
      <w:bookmarkStart w:id="11" w:name="sub_18500"/>
      <w:bookmarkEnd w:id="11"/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7269"/>
        <w:gridCol w:w="1722"/>
      </w:tblGrid>
      <w:tr w:rsidR="0037009D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Информация о выполнении</w:t>
            </w:r>
          </w:p>
        </w:tc>
      </w:tr>
      <w:tr w:rsidR="0037009D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bookmarkStart w:id="12" w:name="sub_18501"/>
            <w:r>
              <w:rPr>
                <w:rFonts w:ascii="Times New Roman CYR" w:hAnsi="Times New Roman CYR" w:cs="Times New Roman CYR"/>
              </w:rPr>
              <w:t>1.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bookmarkStart w:id="13" w:name="sub_18502"/>
            <w:r>
              <w:rPr>
                <w:rFonts w:ascii="Times New Roman CYR" w:hAnsi="Times New Roman CYR" w:cs="Times New Roman CYR"/>
              </w:rPr>
              <w:t>2.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4" w:name="sub_18503"/>
            <w:r>
              <w:rPr>
                <w:rFonts w:ascii="Times New Roman CYR" w:hAnsi="Times New Roman CYR" w:cs="Times New Roman CYR"/>
              </w:rPr>
              <w:t>3.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5" w:name="sub_18504"/>
            <w:r>
              <w:rPr>
                <w:rFonts w:ascii="Times New Roman CYR" w:hAnsi="Times New Roman CYR" w:cs="Times New Roman CYR"/>
              </w:rPr>
              <w:t>4.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6" w:name="sub_18505"/>
            <w:r>
              <w:rPr>
                <w:rFonts w:ascii="Times New Roman CYR" w:hAnsi="Times New Roman CYR" w:cs="Times New Roman CYR"/>
              </w:rPr>
              <w:t>5.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7" w:name="sub_18506"/>
            <w:r>
              <w:rPr>
                <w:rFonts w:ascii="Times New Roman CYR" w:hAnsi="Times New Roman CYR" w:cs="Times New Roman CYR"/>
              </w:rPr>
              <w:t>6.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8" w:name="sub_18507"/>
            <w:r>
              <w:rPr>
                <w:rFonts w:ascii="Times New Roman CYR" w:hAnsi="Times New Roman CYR" w:cs="Times New Roman CYR"/>
              </w:rPr>
              <w:t>7.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Первичные средства пожаротушения для привлекаемых к тушению </w:t>
            </w:r>
            <w:r>
              <w:rPr>
                <w:rFonts w:ascii="Times New Roman CYR" w:hAnsi="Times New Roman CYR" w:cs="Times New Roman CYR"/>
              </w:rPr>
              <w:lastRenderedPageBreak/>
              <w:t>лесных пожаров добровольных пожарных дружин (команд)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9" w:name="sub_18508"/>
            <w:r>
              <w:rPr>
                <w:rFonts w:ascii="Times New Roman CYR" w:hAnsi="Times New Roman CYR" w:cs="Times New Roman CYR"/>
              </w:rPr>
              <w:lastRenderedPageBreak/>
              <w:t>8.</w:t>
            </w:r>
            <w:bookmarkEnd w:id="19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</w:t>
      </w: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lastRenderedPageBreak/>
        <w:t>Приложение2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b/>
          <w:color w:val="22272F"/>
          <w:sz w:val="28"/>
          <w:szCs w:val="28"/>
        </w:rPr>
        <w:t xml:space="preserve">        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утверждении 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               паспорта   населенного пункта,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паспортов территорий</w:t>
      </w:r>
    </w:p>
    <w:p w:rsidR="0037009D" w:rsidRDefault="0037009D">
      <w:pPr>
        <w:widowControl w:val="0"/>
        <w:autoSpaceDE w:val="0"/>
        <w:ind w:firstLine="698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</w:t>
      </w:r>
    </w:p>
    <w:p w:rsidR="0037009D" w:rsidRDefault="0037009D">
      <w:pPr>
        <w:widowControl w:val="0"/>
        <w:autoSpaceDE w:val="0"/>
        <w:ind w:firstLine="698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</w:rPr>
        <w:t>(форма)</w:t>
      </w:r>
    </w:p>
    <w:p w:rsidR="0037009D" w:rsidRDefault="0037009D">
      <w:pPr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009D" w:rsidRDefault="0037009D">
      <w:pPr>
        <w:pStyle w:val="HTML0"/>
        <w:shd w:val="clear" w:color="auto" w:fill="FFFFFF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color w:val="22272F"/>
          <w:sz w:val="21"/>
          <w:szCs w:val="21"/>
        </w:rPr>
        <w:t>УТВЕРЖДАЮ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(должность руководителя организации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(фамилия, имя, отчество (при наличии)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            (подпись и М.П.)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"___"______________20__ г.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                                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ПАСПОРТ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территории организации отдыха детей и их оздоровления, подверженной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угрозе лесных пожаров, территории ведения гражданами садоводства или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огородничества для собственных нужд, подверженной угрозе лесных пожаров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1"/>
          <w:szCs w:val="21"/>
        </w:rPr>
      </w:pP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организации____________________________________________________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поселения ______________________________________________________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 района___________________________________________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муниципального, городского округа_________________________________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субъекта Российской Федерации __</w:t>
      </w:r>
      <w:r>
        <w:rPr>
          <w:color w:val="22272F"/>
          <w:sz w:val="21"/>
          <w:szCs w:val="21"/>
        </w:rPr>
        <w:t>______________________________________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068"/>
        <w:gridCol w:w="7011"/>
        <w:gridCol w:w="1434"/>
      </w:tblGrid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 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Значение</w:t>
            </w: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1.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площадь (кв. 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2.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протяженность границы с лесным участком (участками) (километров)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3.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4.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178"/>
        <w:gridCol w:w="2311"/>
        <w:gridCol w:w="1672"/>
        <w:gridCol w:w="2493"/>
      </w:tblGrid>
      <w:tr w:rsidR="0037009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Адрес объекта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Численность персонала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Численность пациентов (отдыхающих)</w:t>
            </w:r>
          </w:p>
        </w:tc>
      </w:tr>
      <w:tr w:rsidR="0037009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  <w:color w:val="22272F"/>
        </w:rPr>
        <w:lastRenderedPageBreak/>
        <w:t xml:space="preserve"> III. Сведения о ближайших к детскому лагерю, территории садоводства или огородничества подразделениях пожарной охраны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color w:val="22272F"/>
          <w:sz w:val="23"/>
          <w:szCs w:val="23"/>
        </w:rPr>
        <w:t>1. Подразделения пожарной охраны (наименование, вид, адрес)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4367"/>
        <w:gridCol w:w="2796"/>
        <w:gridCol w:w="2491"/>
      </w:tblGrid>
      <w:tr w:rsidR="0037009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Должность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Контактный телефон</w:t>
            </w:r>
          </w:p>
        </w:tc>
      </w:tr>
      <w:tr w:rsidR="0037009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</w:pPr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888"/>
        <w:gridCol w:w="6394"/>
        <w:gridCol w:w="2372"/>
      </w:tblGrid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 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Информация о выполнении</w:t>
            </w: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Звуковая сигнализация для оповещения людей о пожаре</w:t>
            </w:r>
            <w:r>
              <w:rPr>
                <w:rStyle w:val="a5"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а также телефонная связь (радиосвязь) для сообщения о пожаре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D" w:rsidRDefault="0037009D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7009D" w:rsidRDefault="0037009D">
      <w:pPr>
        <w:tabs>
          <w:tab w:val="left" w:pos="3855"/>
        </w:tabs>
        <w:rPr>
          <w:rFonts w:eastAsia="Calibri"/>
          <w:sz w:val="28"/>
          <w:szCs w:val="28"/>
          <w:lang w:eastAsia="en-US"/>
        </w:rPr>
      </w:pPr>
    </w:p>
    <w:sectPr w:rsidR="0037009D" w:rsidSect="0072275A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9"/>
    <w:rsid w:val="0010080A"/>
    <w:rsid w:val="0037009D"/>
    <w:rsid w:val="0072275A"/>
    <w:rsid w:val="0074555A"/>
    <w:rsid w:val="007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0E9CC4-1CC4-4C7A-9777-055CF84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Pr>
      <w:b/>
      <w:bCs/>
      <w:sz w:val="28"/>
      <w:szCs w:val="24"/>
      <w:lang w:val="x-none" w:bidi="ar-SA"/>
    </w:rPr>
  </w:style>
  <w:style w:type="character" w:customStyle="1" w:styleId="s2">
    <w:name w:val="s2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nsolas" w:eastAsia="Calibri" w:hAnsi="Consolas" w:cs="Consolas"/>
    </w:rPr>
  </w:style>
  <w:style w:type="character" w:customStyle="1" w:styleId="fontstyle15">
    <w:name w:val="fontstyle15"/>
    <w:basedOn w:val="10"/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jc w:val="center"/>
    </w:pPr>
    <w:rPr>
      <w:rFonts w:eastAsia="Calibri"/>
      <w:b/>
      <w:bCs/>
      <w:sz w:val="28"/>
      <w:lang w:val="x-none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pPr>
      <w:spacing w:before="280" w:after="280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basedOn w:val="a"/>
    <w:uiPriority w:val="1"/>
    <w:qFormat/>
    <w:rsid w:val="0072275A"/>
    <w:pPr>
      <w:suppressAutoHyphens w:val="0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cp:lastModifiedBy>Пользователь</cp:lastModifiedBy>
  <cp:revision>2</cp:revision>
  <cp:lastPrinted>1995-11-21T10:41:00Z</cp:lastPrinted>
  <dcterms:created xsi:type="dcterms:W3CDTF">2022-05-13T10:05:00Z</dcterms:created>
  <dcterms:modified xsi:type="dcterms:W3CDTF">2022-05-13T10:05:00Z</dcterms:modified>
</cp:coreProperties>
</file>