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5D54D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A77A4D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3363D6">
        <w:rPr>
          <w:sz w:val="26"/>
          <w:szCs w:val="26"/>
          <w:lang w:eastAsia="en-US"/>
        </w:rPr>
        <w:t>Сабин</w:t>
      </w:r>
      <w:r>
        <w:rPr>
          <w:sz w:val="26"/>
          <w:szCs w:val="26"/>
          <w:lang w:eastAsia="en-US"/>
        </w:rPr>
        <w:t>ского</w:t>
      </w:r>
      <w:r w:rsidR="005D54DB">
        <w:rPr>
          <w:sz w:val="26"/>
          <w:szCs w:val="26"/>
          <w:lang w:eastAsia="en-US"/>
        </w:rPr>
        <w:t xml:space="preserve">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6E6715" w:rsidRDefault="005D54DB" w:rsidP="005D54DB">
      <w:pPr>
        <w:pStyle w:val="af1"/>
        <w:rPr>
          <w:sz w:val="26"/>
          <w:szCs w:val="26"/>
          <w:u w:val="single"/>
        </w:rPr>
      </w:pPr>
      <w:r w:rsidRPr="001A7B19">
        <w:rPr>
          <w:bCs/>
          <w:sz w:val="26"/>
          <w:szCs w:val="26"/>
        </w:rPr>
        <w:t>от «</w:t>
      </w:r>
      <w:r w:rsidR="00733204" w:rsidRPr="006E6715">
        <w:rPr>
          <w:bCs/>
          <w:sz w:val="26"/>
          <w:szCs w:val="26"/>
          <w:u w:val="single"/>
        </w:rPr>
        <w:t>10</w:t>
      </w:r>
      <w:r w:rsidRPr="001A7B19">
        <w:rPr>
          <w:bCs/>
          <w:sz w:val="26"/>
          <w:szCs w:val="26"/>
        </w:rPr>
        <w:t>»</w:t>
      </w:r>
      <w:r w:rsidRPr="001A7B19">
        <w:rPr>
          <w:b/>
          <w:bCs/>
          <w:sz w:val="26"/>
          <w:szCs w:val="26"/>
        </w:rPr>
        <w:t xml:space="preserve"> </w:t>
      </w:r>
      <w:r w:rsidR="00733204" w:rsidRPr="006E6715">
        <w:rPr>
          <w:sz w:val="26"/>
          <w:szCs w:val="26"/>
          <w:u w:val="single"/>
        </w:rPr>
        <w:t>декабря</w:t>
      </w:r>
      <w:r w:rsidRPr="006E6715">
        <w:rPr>
          <w:sz w:val="26"/>
          <w:szCs w:val="26"/>
          <w:u w:val="single"/>
        </w:rPr>
        <w:t xml:space="preserve"> </w:t>
      </w:r>
      <w:r w:rsidRPr="001A7B19">
        <w:rPr>
          <w:sz w:val="26"/>
          <w:szCs w:val="26"/>
        </w:rPr>
        <w:t>2021 г.</w:t>
      </w:r>
      <w:r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</w:t>
      </w:r>
      <w:r w:rsidR="001632E8">
        <w:rPr>
          <w:sz w:val="26"/>
          <w:szCs w:val="26"/>
        </w:rPr>
        <w:t xml:space="preserve">     </w:t>
      </w:r>
      <w:r w:rsidR="001A7B19">
        <w:rPr>
          <w:sz w:val="26"/>
          <w:szCs w:val="26"/>
        </w:rPr>
        <w:t xml:space="preserve"> </w:t>
      </w:r>
      <w:r w:rsidR="00A77A4D">
        <w:rPr>
          <w:sz w:val="26"/>
          <w:szCs w:val="26"/>
        </w:rPr>
        <w:t xml:space="preserve">с. </w:t>
      </w:r>
      <w:r w:rsidR="003363D6">
        <w:rPr>
          <w:sz w:val="26"/>
          <w:szCs w:val="26"/>
        </w:rPr>
        <w:t>Сабин</w:t>
      </w:r>
      <w:r w:rsidR="00A77A4D">
        <w:rPr>
          <w:sz w:val="26"/>
          <w:szCs w:val="26"/>
        </w:rPr>
        <w:t>ка</w:t>
      </w:r>
      <w:r w:rsidRPr="001A7B19">
        <w:rPr>
          <w:sz w:val="26"/>
          <w:szCs w:val="26"/>
        </w:rPr>
        <w:t xml:space="preserve">                                             </w:t>
      </w:r>
      <w:r w:rsidR="001A7B19"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 xml:space="preserve">№ </w:t>
      </w:r>
      <w:r w:rsidR="00733204" w:rsidRPr="006E6715">
        <w:rPr>
          <w:sz w:val="26"/>
          <w:szCs w:val="26"/>
          <w:u w:val="single"/>
        </w:rPr>
        <w:t>30</w:t>
      </w:r>
    </w:p>
    <w:p w:rsidR="005D54DB" w:rsidRPr="001A7B19" w:rsidRDefault="005D54DB" w:rsidP="005D54DB">
      <w:pPr>
        <w:pStyle w:val="af1"/>
        <w:rPr>
          <w:color w:val="000000"/>
          <w:sz w:val="26"/>
          <w:szCs w:val="26"/>
        </w:rPr>
      </w:pPr>
    </w:p>
    <w:p w:rsidR="00731201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о </w:t>
      </w:r>
    </w:p>
    <w:p w:rsidR="00731201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муниципальном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</w:p>
    <w:p w:rsidR="00731201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благоустройства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</w:p>
    <w:p w:rsidR="00731201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A77A4D">
        <w:rPr>
          <w:b/>
          <w:bCs/>
          <w:color w:val="000000"/>
          <w:sz w:val="26"/>
          <w:szCs w:val="26"/>
        </w:rPr>
        <w:t xml:space="preserve">    </w:t>
      </w:r>
      <w:r w:rsidR="001A7B19">
        <w:rPr>
          <w:b/>
          <w:bCs/>
          <w:color w:val="000000"/>
          <w:sz w:val="26"/>
          <w:szCs w:val="26"/>
        </w:rPr>
        <w:t xml:space="preserve"> </w:t>
      </w:r>
    </w:p>
    <w:p w:rsidR="00D03C14" w:rsidRPr="001A7B19" w:rsidRDefault="003363D6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Сабин</w:t>
      </w:r>
      <w:r w:rsidR="005D54DB" w:rsidRPr="001A7B19">
        <w:rPr>
          <w:b/>
          <w:bCs/>
          <w:color w:val="000000"/>
          <w:sz w:val="26"/>
          <w:szCs w:val="26"/>
        </w:rPr>
        <w:t>ский сельсовет</w:t>
      </w:r>
    </w:p>
    <w:p w:rsidR="00D03C14" w:rsidRPr="001A7B19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733204" w:rsidRDefault="00D03C14" w:rsidP="00A77A4D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</w:t>
      </w:r>
      <w:r w:rsidR="00A77A4D">
        <w:rPr>
          <w:bCs/>
          <w:color w:val="000000"/>
          <w:sz w:val="26"/>
          <w:szCs w:val="26"/>
        </w:rPr>
        <w:t xml:space="preserve">ного образования </w:t>
      </w:r>
      <w:r w:rsidR="003363D6">
        <w:rPr>
          <w:bCs/>
          <w:color w:val="000000"/>
          <w:sz w:val="26"/>
          <w:szCs w:val="26"/>
        </w:rPr>
        <w:t>Сабин</w:t>
      </w:r>
      <w:r w:rsidR="00A77A4D">
        <w:rPr>
          <w:bCs/>
          <w:color w:val="000000"/>
          <w:sz w:val="26"/>
          <w:szCs w:val="26"/>
        </w:rPr>
        <w:t>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A77A4D">
        <w:rPr>
          <w:b/>
          <w:iCs/>
          <w:sz w:val="26"/>
          <w:szCs w:val="26"/>
        </w:rPr>
        <w:t xml:space="preserve">Совет депутатов </w:t>
      </w:r>
      <w:r w:rsidR="003363D6">
        <w:rPr>
          <w:b/>
          <w:iCs/>
          <w:sz w:val="26"/>
          <w:szCs w:val="26"/>
        </w:rPr>
        <w:t>Сабин</w:t>
      </w:r>
      <w:r w:rsidR="00A77A4D">
        <w:rPr>
          <w:b/>
          <w:iCs/>
          <w:sz w:val="26"/>
          <w:szCs w:val="26"/>
        </w:rPr>
        <w:t>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  <w:r w:rsidR="00A77A4D">
        <w:rPr>
          <w:sz w:val="26"/>
          <w:szCs w:val="26"/>
        </w:rPr>
        <w:t xml:space="preserve"> </w:t>
      </w:r>
    </w:p>
    <w:p w:rsidR="00733204" w:rsidRDefault="00733204" w:rsidP="00A77A4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03C14" w:rsidRPr="00A77A4D" w:rsidRDefault="00D03C14" w:rsidP="00733204">
      <w:pPr>
        <w:shd w:val="clear" w:color="auto" w:fill="FFFFFF"/>
        <w:ind w:firstLine="709"/>
        <w:jc w:val="center"/>
        <w:rPr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 xml:space="preserve">ного образования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ский</w:t>
      </w:r>
      <w:r w:rsidR="005D54DB" w:rsidRPr="001A7B19">
        <w:rPr>
          <w:color w:val="000000"/>
          <w:sz w:val="26"/>
          <w:szCs w:val="26"/>
        </w:rPr>
        <w:t xml:space="preserve">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 xml:space="preserve">ного образования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 xml:space="preserve">ного образования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ский</w:t>
      </w:r>
      <w:r w:rsidR="001A7B19" w:rsidRPr="001A7B19">
        <w:rPr>
          <w:color w:val="000000"/>
          <w:sz w:val="26"/>
          <w:szCs w:val="26"/>
        </w:rPr>
        <w:t xml:space="preserve">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733204" w:rsidRDefault="00733204" w:rsidP="001A7B19">
      <w:pPr>
        <w:jc w:val="both"/>
        <w:rPr>
          <w:sz w:val="26"/>
          <w:szCs w:val="26"/>
        </w:rPr>
      </w:pPr>
    </w:p>
    <w:p w:rsidR="00733204" w:rsidRDefault="00733204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>Глава</w:t>
      </w:r>
      <w:r w:rsidRPr="001A7B19">
        <w:rPr>
          <w:rStyle w:val="aff2"/>
          <w:sz w:val="26"/>
          <w:szCs w:val="26"/>
        </w:rPr>
        <w:footnoteReference w:id="2"/>
      </w:r>
      <w:r w:rsidRPr="001A7B19">
        <w:rPr>
          <w:sz w:val="26"/>
          <w:szCs w:val="26"/>
        </w:rPr>
        <w:t xml:space="preserve"> </w:t>
      </w:r>
      <w:r w:rsidR="003363D6">
        <w:rPr>
          <w:bCs/>
          <w:color w:val="000000"/>
          <w:sz w:val="26"/>
          <w:szCs w:val="26"/>
        </w:rPr>
        <w:t>Сабинс</w:t>
      </w:r>
      <w:r w:rsidR="00A77A4D">
        <w:rPr>
          <w:bCs/>
          <w:color w:val="000000"/>
          <w:sz w:val="26"/>
          <w:szCs w:val="26"/>
        </w:rPr>
        <w:t>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="00A77A4D">
        <w:rPr>
          <w:bCs/>
          <w:color w:val="000000"/>
          <w:sz w:val="26"/>
          <w:szCs w:val="26"/>
        </w:rPr>
        <w:t xml:space="preserve">      </w:t>
      </w:r>
      <w:r w:rsidR="00731201">
        <w:rPr>
          <w:bCs/>
          <w:color w:val="000000"/>
          <w:sz w:val="26"/>
          <w:szCs w:val="26"/>
        </w:rPr>
        <w:t xml:space="preserve">                 </w:t>
      </w:r>
      <w:r w:rsidR="00A77A4D">
        <w:rPr>
          <w:bCs/>
          <w:color w:val="000000"/>
          <w:sz w:val="26"/>
          <w:szCs w:val="26"/>
        </w:rPr>
        <w:t xml:space="preserve"> </w:t>
      </w:r>
      <w:r w:rsidR="003363D6">
        <w:rPr>
          <w:bCs/>
          <w:color w:val="000000"/>
          <w:sz w:val="26"/>
          <w:szCs w:val="26"/>
        </w:rPr>
        <w:t>С</w:t>
      </w:r>
      <w:r w:rsidR="00A77A4D">
        <w:rPr>
          <w:bCs/>
          <w:color w:val="000000"/>
          <w:sz w:val="26"/>
          <w:szCs w:val="26"/>
        </w:rPr>
        <w:t>.</w:t>
      </w:r>
      <w:r w:rsidR="003363D6">
        <w:rPr>
          <w:bCs/>
          <w:color w:val="000000"/>
          <w:sz w:val="26"/>
          <w:szCs w:val="26"/>
        </w:rPr>
        <w:t>Н</w:t>
      </w:r>
      <w:r w:rsidR="00A77A4D">
        <w:rPr>
          <w:bCs/>
          <w:color w:val="000000"/>
          <w:sz w:val="26"/>
          <w:szCs w:val="26"/>
        </w:rPr>
        <w:t xml:space="preserve">. </w:t>
      </w:r>
      <w:r w:rsidR="003363D6">
        <w:rPr>
          <w:bCs/>
          <w:color w:val="000000"/>
          <w:sz w:val="26"/>
          <w:szCs w:val="26"/>
        </w:rPr>
        <w:t>Бугаева</w:t>
      </w:r>
    </w:p>
    <w:p w:rsidR="00A77A4D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33204" w:rsidRDefault="0073320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33204" w:rsidRDefault="0073320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33204" w:rsidRDefault="0073320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D03C14" w:rsidRPr="001A7B19" w:rsidRDefault="00731201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Решением Совета депутатов </w:t>
      </w:r>
    </w:p>
    <w:p w:rsidR="00D03C14" w:rsidRPr="001A7B19" w:rsidRDefault="003363D6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1A7B19" w:rsidRPr="00733204" w:rsidRDefault="001A7B19" w:rsidP="001A7B19">
      <w:pPr>
        <w:ind w:left="6379"/>
        <w:jc w:val="both"/>
        <w:rPr>
          <w:sz w:val="26"/>
          <w:szCs w:val="26"/>
          <w:u w:val="single"/>
        </w:rPr>
      </w:pPr>
      <w:r w:rsidRPr="001A7B19">
        <w:rPr>
          <w:color w:val="000000"/>
          <w:sz w:val="26"/>
          <w:szCs w:val="26"/>
        </w:rPr>
        <w:t>от «</w:t>
      </w:r>
      <w:r w:rsidR="00733204" w:rsidRPr="00733204">
        <w:rPr>
          <w:color w:val="000000"/>
          <w:sz w:val="26"/>
          <w:szCs w:val="26"/>
          <w:u w:val="single"/>
        </w:rPr>
        <w:t>10</w:t>
      </w:r>
      <w:r w:rsidRPr="001A7B1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="001632E8">
        <w:rPr>
          <w:color w:val="000000"/>
          <w:sz w:val="26"/>
          <w:szCs w:val="26"/>
          <w:u w:val="single"/>
        </w:rPr>
        <w:t>декабря</w:t>
      </w:r>
      <w:r w:rsidRPr="001A7B19">
        <w:rPr>
          <w:color w:val="000000"/>
          <w:sz w:val="26"/>
          <w:szCs w:val="26"/>
        </w:rPr>
        <w:t xml:space="preserve"> </w:t>
      </w:r>
      <w:r w:rsidR="00733204">
        <w:rPr>
          <w:color w:val="000000"/>
          <w:sz w:val="26"/>
          <w:szCs w:val="26"/>
        </w:rPr>
        <w:t xml:space="preserve"> </w:t>
      </w:r>
      <w:r w:rsidRPr="001A7B19">
        <w:rPr>
          <w:color w:val="000000"/>
          <w:sz w:val="26"/>
          <w:szCs w:val="26"/>
        </w:rPr>
        <w:t xml:space="preserve">2021 г. № </w:t>
      </w:r>
      <w:r w:rsidR="00733204" w:rsidRPr="00733204">
        <w:rPr>
          <w:color w:val="000000"/>
          <w:sz w:val="26"/>
          <w:szCs w:val="26"/>
          <w:u w:val="single"/>
        </w:rPr>
        <w:t>30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</w:t>
      </w:r>
      <w:r w:rsidR="00A77A4D">
        <w:rPr>
          <w:b/>
          <w:color w:val="000000"/>
          <w:sz w:val="26"/>
          <w:szCs w:val="26"/>
        </w:rPr>
        <w:t xml:space="preserve">ного образования </w:t>
      </w:r>
      <w:r w:rsidR="003363D6">
        <w:rPr>
          <w:b/>
          <w:color w:val="000000"/>
          <w:sz w:val="26"/>
          <w:szCs w:val="26"/>
        </w:rPr>
        <w:t>Сабин</w:t>
      </w:r>
      <w:r w:rsidR="00A77A4D">
        <w:rPr>
          <w:b/>
          <w:color w:val="000000"/>
          <w:sz w:val="26"/>
          <w:szCs w:val="26"/>
        </w:rPr>
        <w:t>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ого образования </w:t>
      </w:r>
      <w:r w:rsidR="003363D6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ский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ного образования </w:t>
      </w:r>
      <w:r w:rsidR="003363D6">
        <w:rPr>
          <w:rFonts w:ascii="Times New Roman" w:hAnsi="Times New Roman" w:cs="Times New Roman"/>
          <w:color w:val="000000"/>
          <w:sz w:val="26"/>
          <w:szCs w:val="26"/>
        </w:rPr>
        <w:t>Сабинс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</w:t>
      </w:r>
      <w:r w:rsidR="00731201">
        <w:rPr>
          <w:rFonts w:ascii="Times New Roman" w:hAnsi="Times New Roman" w:cs="Times New Roman"/>
          <w:color w:val="000000"/>
          <w:sz w:val="26"/>
          <w:szCs w:val="26"/>
        </w:rPr>
        <w:t xml:space="preserve">нистрация осуществляет контроль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7312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7301C">
        <w:rPr>
          <w:rStyle w:val="aff2"/>
          <w:color w:val="000000"/>
          <w:sz w:val="26"/>
          <w:szCs w:val="26"/>
        </w:rPr>
        <w:footnoteReference w:id="4"/>
      </w:r>
      <w:r w:rsidRPr="0057301C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57301C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277E1E">
        <w:rPr>
          <w:color w:val="000000"/>
          <w:sz w:val="26"/>
          <w:szCs w:val="26"/>
        </w:rPr>
        <w:t>Сабин</w:t>
      </w:r>
      <w:r w:rsidR="001A7B19" w:rsidRPr="0057301C">
        <w:rPr>
          <w:color w:val="000000"/>
          <w:sz w:val="26"/>
          <w:szCs w:val="26"/>
        </w:rPr>
        <w:t xml:space="preserve">ский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7301C">
        <w:rPr>
          <w:rStyle w:val="aff2"/>
          <w:color w:val="000000"/>
          <w:sz w:val="26"/>
          <w:szCs w:val="26"/>
        </w:rPr>
        <w:footnoteReference w:id="5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6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Style w:val="aff2"/>
          <w:color w:val="000000"/>
          <w:sz w:val="26"/>
          <w:szCs w:val="26"/>
        </w:rPr>
        <w:footnoteReference w:id="7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r w:rsidR="00A77A4D" w:rsidRPr="0057301C">
        <w:rPr>
          <w:rFonts w:ascii="Times New Roman" w:hAnsi="Times New Roman" w:cs="Times New Roman"/>
          <w:color w:val="000000"/>
          <w:sz w:val="26"/>
          <w:szCs w:val="26"/>
        </w:rPr>
        <w:t>благоустройства,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авляет информацию об этом главе </w:t>
      </w:r>
      <w:r w:rsidR="00731201">
        <w:rPr>
          <w:rFonts w:ascii="Times New Roman" w:hAnsi="Times New Roman" w:cs="Times New Roman"/>
          <w:color w:val="000000"/>
          <w:sz w:val="26"/>
          <w:szCs w:val="26"/>
        </w:rPr>
        <w:t>Сабинского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8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7301C">
        <w:rPr>
          <w:rStyle w:val="aff2"/>
          <w:color w:val="000000"/>
          <w:sz w:val="26"/>
          <w:szCs w:val="26"/>
        </w:rPr>
        <w:footnoteReference w:id="9"/>
      </w:r>
      <w:r w:rsidRPr="0057301C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57301C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731201">
        <w:rPr>
          <w:color w:val="000000"/>
          <w:sz w:val="26"/>
          <w:szCs w:val="26"/>
        </w:rPr>
        <w:t>Сабинского</w:t>
      </w:r>
      <w:r w:rsidR="0057301C" w:rsidRPr="0057301C">
        <w:rPr>
          <w:color w:val="000000"/>
          <w:sz w:val="26"/>
          <w:szCs w:val="26"/>
        </w:rPr>
        <w:t xml:space="preserve">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1E5D34" w:rsidRPr="00666527">
        <w:rPr>
          <w:rFonts w:ascii="Times New Roman" w:hAnsi="Times New Roman" w:cs="Times New Roman"/>
          <w:color w:val="000000"/>
          <w:sz w:val="26"/>
          <w:szCs w:val="26"/>
        </w:rPr>
        <w:t>осуществляться,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66527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10"/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9C2DC5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1"/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</w:t>
      </w:r>
      <w:r w:rsidR="001E5D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ветом депутатов </w:t>
      </w:r>
      <w:r w:rsidR="008F5DAC">
        <w:rPr>
          <w:rFonts w:ascii="Times New Roman" w:hAnsi="Times New Roman" w:cs="Times New Roman"/>
          <w:bCs/>
          <w:color w:val="000000"/>
          <w:sz w:val="26"/>
          <w:szCs w:val="26"/>
        </w:rPr>
        <w:t>Сабин</w:t>
      </w:r>
      <w:r w:rsidR="001E5D34">
        <w:rPr>
          <w:rFonts w:ascii="Times New Roman" w:hAnsi="Times New Roman" w:cs="Times New Roman"/>
          <w:bCs/>
          <w:color w:val="000000"/>
          <w:sz w:val="26"/>
          <w:szCs w:val="26"/>
        </w:rPr>
        <w:t>ского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97090E" w:rsidRDefault="00311995" w:rsidP="0097090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97090E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95" w:rsidRDefault="00311995" w:rsidP="00D03C14">
      <w:r>
        <w:separator/>
      </w:r>
    </w:p>
  </w:endnote>
  <w:endnote w:type="continuationSeparator" w:id="0">
    <w:p w:rsidR="00311995" w:rsidRDefault="0031199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95" w:rsidRDefault="00311995" w:rsidP="00D03C14">
      <w:r>
        <w:separator/>
      </w:r>
    </w:p>
  </w:footnote>
  <w:footnote w:type="continuationSeparator" w:id="0">
    <w:p w:rsidR="00311995" w:rsidRDefault="00311995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1A7B19" w:rsidRDefault="001A7B19" w:rsidP="001A7B19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="00731201">
        <w:rPr>
          <w:sz w:val="24"/>
          <w:szCs w:val="24"/>
        </w:rPr>
        <w:t>, не применяется</w:t>
      </w:r>
      <w:r w:rsidRPr="00A7472F">
        <w:rPr>
          <w:sz w:val="24"/>
          <w:szCs w:val="24"/>
        </w:rPr>
        <w:t>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22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1199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22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D202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1199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0151"/>
    <w:rsid w:val="001632E8"/>
    <w:rsid w:val="001A7B19"/>
    <w:rsid w:val="001E5D34"/>
    <w:rsid w:val="00205A21"/>
    <w:rsid w:val="00277E1E"/>
    <w:rsid w:val="002E0838"/>
    <w:rsid w:val="00311995"/>
    <w:rsid w:val="003363D6"/>
    <w:rsid w:val="0057301C"/>
    <w:rsid w:val="00582261"/>
    <w:rsid w:val="005D202C"/>
    <w:rsid w:val="005D54DB"/>
    <w:rsid w:val="005F5A44"/>
    <w:rsid w:val="00666527"/>
    <w:rsid w:val="006E6715"/>
    <w:rsid w:val="007100F8"/>
    <w:rsid w:val="00731201"/>
    <w:rsid w:val="00733204"/>
    <w:rsid w:val="00795C66"/>
    <w:rsid w:val="00820860"/>
    <w:rsid w:val="008351FA"/>
    <w:rsid w:val="00842AA8"/>
    <w:rsid w:val="008629D3"/>
    <w:rsid w:val="008C4620"/>
    <w:rsid w:val="008C7BB7"/>
    <w:rsid w:val="008D62F1"/>
    <w:rsid w:val="008F5DAC"/>
    <w:rsid w:val="00935631"/>
    <w:rsid w:val="0097090E"/>
    <w:rsid w:val="00981CA6"/>
    <w:rsid w:val="009C2DC5"/>
    <w:rsid w:val="009D07EB"/>
    <w:rsid w:val="00A07C92"/>
    <w:rsid w:val="00A77A4D"/>
    <w:rsid w:val="00CE1FE4"/>
    <w:rsid w:val="00D03C14"/>
    <w:rsid w:val="00D73FFD"/>
    <w:rsid w:val="00DB5B01"/>
    <w:rsid w:val="00EC266B"/>
    <w:rsid w:val="00EF6B3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0DF5-782E-4448-B702-FDB8533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7ED7-0E99-4B2A-87F0-FD793F39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2021-12-13T03:05:00Z</cp:lastPrinted>
  <dcterms:created xsi:type="dcterms:W3CDTF">2022-08-30T04:54:00Z</dcterms:created>
  <dcterms:modified xsi:type="dcterms:W3CDTF">2022-08-30T04:54:00Z</dcterms:modified>
</cp:coreProperties>
</file>